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11D37" w:rsidRDefault="00911D37">
      <w:pPr>
        <w:pBdr>
          <w:top w:val="nil"/>
          <w:left w:val="nil"/>
          <w:bottom w:val="nil"/>
          <w:right w:val="nil"/>
          <w:between w:val="nil"/>
        </w:pBdr>
        <w:spacing w:before="120" w:after="120" w:line="240" w:lineRule="auto"/>
        <w:ind w:left="1996" w:hanging="720"/>
        <w:rPr>
          <w:rFonts w:ascii="Arial" w:eastAsia="Arial" w:hAnsi="Arial" w:cs="Arial"/>
          <w:b/>
          <w:color w:val="000000"/>
          <w:sz w:val="36"/>
          <w:szCs w:val="36"/>
        </w:rPr>
      </w:pPr>
    </w:p>
    <w:p w14:paraId="00000002" w14:textId="77777777" w:rsidR="00911D37" w:rsidRDefault="002132B2" w:rsidP="00107F71">
      <w:pPr>
        <w:jc w:val="both"/>
        <w:rPr>
          <w:rFonts w:ascii="Arial" w:eastAsia="Arial" w:hAnsi="Arial" w:cs="Arial"/>
          <w:sz w:val="36"/>
          <w:szCs w:val="36"/>
        </w:rPr>
      </w:pPr>
      <w:r>
        <w:rPr>
          <w:rFonts w:ascii="Arial" w:eastAsia="Arial" w:hAnsi="Arial" w:cs="Arial"/>
          <w:b/>
          <w:sz w:val="36"/>
          <w:szCs w:val="36"/>
        </w:rPr>
        <w:t>Call-Off Schedule 19 (Scottish Law)</w:t>
      </w:r>
      <w:r>
        <w:rPr>
          <w:rFonts w:ascii="Arial" w:eastAsia="Arial" w:hAnsi="Arial" w:cs="Arial"/>
          <w:sz w:val="36"/>
          <w:szCs w:val="36"/>
        </w:rPr>
        <w:t xml:space="preserve"> </w:t>
      </w:r>
    </w:p>
    <w:p w14:paraId="00000003" w14:textId="77777777" w:rsidR="00911D37" w:rsidRDefault="002132B2" w:rsidP="00107F71">
      <w:pPr>
        <w:keepNext/>
        <w:numPr>
          <w:ilvl w:val="0"/>
          <w:numId w:val="1"/>
        </w:numPr>
        <w:pBdr>
          <w:top w:val="nil"/>
          <w:left w:val="nil"/>
          <w:bottom w:val="nil"/>
          <w:right w:val="nil"/>
          <w:between w:val="nil"/>
        </w:pBdr>
        <w:tabs>
          <w:tab w:val="left" w:pos="142"/>
        </w:tabs>
        <w:spacing w:before="24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4" w14:textId="77777777" w:rsidR="00911D37" w:rsidRDefault="002132B2" w:rsidP="00107F71">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This Call-Off Schedule 19 may be included to adapt the Core Terms and Schedules so that the Call Off Contract is under Scottish Law.</w:t>
      </w:r>
    </w:p>
    <w:p w14:paraId="00000005" w14:textId="77777777" w:rsidR="00911D37" w:rsidRDefault="002132B2" w:rsidP="00107F71">
      <w:pPr>
        <w:numPr>
          <w:ilvl w:val="0"/>
          <w:numId w:val="1"/>
        </w:numPr>
        <w:pBdr>
          <w:top w:val="nil"/>
          <w:left w:val="nil"/>
          <w:bottom w:val="nil"/>
          <w:right w:val="nil"/>
          <w:between w:val="nil"/>
        </w:pBdr>
        <w:tabs>
          <w:tab w:val="left" w:pos="142"/>
        </w:tabs>
        <w:spacing w:before="24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Changes to the Core Terms</w:t>
      </w:r>
    </w:p>
    <w:p w14:paraId="00000006" w14:textId="4EDB6816" w:rsidR="00911D37" w:rsidRDefault="002132B2" w:rsidP="00107F71">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Clause 19, (Other people’s rights in </w:t>
      </w:r>
      <w:r w:rsidR="00E54C35">
        <w:rPr>
          <w:rFonts w:ascii="Arial" w:eastAsia="Arial" w:hAnsi="Arial" w:cs="Arial"/>
          <w:color w:val="000000"/>
          <w:sz w:val="24"/>
          <w:szCs w:val="24"/>
        </w:rPr>
        <w:t xml:space="preserve">a </w:t>
      </w:r>
      <w:r>
        <w:rPr>
          <w:rFonts w:ascii="Arial" w:eastAsia="Arial" w:hAnsi="Arial" w:cs="Arial"/>
          <w:color w:val="000000"/>
          <w:sz w:val="24"/>
          <w:szCs w:val="24"/>
        </w:rPr>
        <w:t xml:space="preserve">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00000007" w14:textId="77777777" w:rsidR="00911D37" w:rsidRDefault="002132B2" w:rsidP="00107F71">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Clause 34 (Resolving Disputes):</w:t>
      </w:r>
    </w:p>
    <w:p w14:paraId="00000008"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Clause 34.3  The term “Courts of England and Wales” shall be amended to read </w:t>
      </w:r>
      <w:r>
        <w:rPr>
          <w:rFonts w:ascii="Arial" w:eastAsia="Arial" w:hAnsi="Arial" w:cs="Arial"/>
          <w:i/>
          <w:color w:val="000000"/>
          <w:sz w:val="24"/>
          <w:szCs w:val="24"/>
        </w:rPr>
        <w:t xml:space="preserve">“Court of Session” </w:t>
      </w:r>
    </w:p>
    <w:p w14:paraId="0000000A"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Clause 34.4 – Conduct of Arbitration. </w:t>
      </w:r>
    </w:p>
    <w:p w14:paraId="0000000B" w14:textId="77777777" w:rsidR="00911D37" w:rsidRDefault="002132B2" w:rsidP="00107F71">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0000000C" w14:textId="77777777" w:rsidR="00911D37" w:rsidRDefault="002132B2" w:rsidP="00107F71">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0000000D" w14:textId="77777777" w:rsidR="00911D37" w:rsidRDefault="002132B2" w:rsidP="00107F71">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Add the following wording “</w:t>
      </w:r>
      <w:r>
        <w:rPr>
          <w:rFonts w:ascii="Arial" w:eastAsia="Arial" w:hAnsi="Arial" w:cs="Arial"/>
          <w:i/>
          <w:color w:val="000000"/>
          <w:sz w:val="24"/>
          <w:szCs w:val="24"/>
        </w:rPr>
        <w:t>The arbitration shall be conducted in accordance with the Arbitration (Scotland) Act 2010 subject to disapplication in whole or in part of any of the default rules of the Scottish Arbitration Rules comprising Schedule 1 to that Act as the Parties may agree</w:t>
      </w:r>
      <w:r>
        <w:rPr>
          <w:rFonts w:ascii="Arial" w:eastAsia="Arial" w:hAnsi="Arial" w:cs="Arial"/>
          <w:color w:val="000000"/>
          <w:sz w:val="24"/>
          <w:szCs w:val="24"/>
        </w:rPr>
        <w:t>.”</w:t>
      </w:r>
    </w:p>
    <w:p w14:paraId="0000000E" w14:textId="19015E7E" w:rsidR="00911D37" w:rsidRDefault="00E54C35" w:rsidP="00107F71">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Clause 35 (Which law applies</w:t>
      </w:r>
      <w:r w:rsidR="002132B2">
        <w:rPr>
          <w:rFonts w:ascii="Arial" w:eastAsia="Arial" w:hAnsi="Arial" w:cs="Arial"/>
          <w:color w:val="000000"/>
          <w:sz w:val="24"/>
          <w:szCs w:val="24"/>
        </w:rPr>
        <w:t>) – the words “</w:t>
      </w:r>
      <w:r w:rsidR="002132B2">
        <w:rPr>
          <w:rFonts w:ascii="Arial" w:eastAsia="Arial" w:hAnsi="Arial" w:cs="Arial"/>
          <w:i/>
          <w:color w:val="000000"/>
          <w:sz w:val="24"/>
          <w:szCs w:val="24"/>
        </w:rPr>
        <w:t>English Law</w:t>
      </w:r>
      <w:r w:rsidR="002132B2">
        <w:rPr>
          <w:rFonts w:ascii="Arial" w:eastAsia="Arial" w:hAnsi="Arial" w:cs="Arial"/>
          <w:color w:val="000000"/>
          <w:sz w:val="24"/>
          <w:szCs w:val="24"/>
        </w:rPr>
        <w:t>” shall be replaced by “</w:t>
      </w:r>
      <w:r w:rsidR="002132B2">
        <w:rPr>
          <w:rFonts w:ascii="Arial" w:eastAsia="Arial" w:hAnsi="Arial" w:cs="Arial"/>
          <w:i/>
          <w:color w:val="000000"/>
          <w:sz w:val="24"/>
          <w:szCs w:val="24"/>
        </w:rPr>
        <w:t>the Law of Scotland</w:t>
      </w:r>
      <w:r w:rsidR="002132B2">
        <w:rPr>
          <w:rFonts w:ascii="Arial" w:eastAsia="Arial" w:hAnsi="Arial" w:cs="Arial"/>
          <w:color w:val="000000"/>
          <w:sz w:val="24"/>
          <w:szCs w:val="24"/>
        </w:rPr>
        <w:t>”.</w:t>
      </w:r>
    </w:p>
    <w:p w14:paraId="0000000F" w14:textId="77777777" w:rsidR="00911D37" w:rsidRDefault="002132B2" w:rsidP="00107F71">
      <w:pPr>
        <w:numPr>
          <w:ilvl w:val="0"/>
          <w:numId w:val="1"/>
        </w:numPr>
        <w:pBdr>
          <w:top w:val="nil"/>
          <w:left w:val="nil"/>
          <w:bottom w:val="nil"/>
          <w:right w:val="nil"/>
          <w:between w:val="nil"/>
        </w:pBdr>
        <w:tabs>
          <w:tab w:val="left" w:pos="142"/>
        </w:tabs>
        <w:spacing w:before="24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Changes to the Joint Schedules</w:t>
      </w:r>
    </w:p>
    <w:p w14:paraId="00000010" w14:textId="40A0047E" w:rsidR="00911D37" w:rsidRDefault="00E54C35" w:rsidP="00107F71">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Joint Schedule 1 (</w:t>
      </w:r>
      <w:r w:rsidR="002132B2">
        <w:rPr>
          <w:rFonts w:ascii="Arial" w:eastAsia="Arial" w:hAnsi="Arial" w:cs="Arial"/>
          <w:color w:val="000000"/>
          <w:sz w:val="24"/>
          <w:szCs w:val="24"/>
        </w:rPr>
        <w:t>Definitions</w:t>
      </w:r>
      <w:r>
        <w:rPr>
          <w:rFonts w:ascii="Arial" w:eastAsia="Arial" w:hAnsi="Arial" w:cs="Arial"/>
          <w:color w:val="000000"/>
          <w:sz w:val="24"/>
          <w:szCs w:val="24"/>
        </w:rPr>
        <w:t>)</w:t>
      </w:r>
      <w:bookmarkStart w:id="0" w:name="_GoBack"/>
      <w:bookmarkEnd w:id="0"/>
      <w:r w:rsidR="002132B2">
        <w:rPr>
          <w:rFonts w:ascii="Arial" w:eastAsia="Arial" w:hAnsi="Arial" w:cs="Arial"/>
          <w:color w:val="000000"/>
          <w:sz w:val="24"/>
          <w:szCs w:val="24"/>
        </w:rPr>
        <w:t xml:space="preserve"> shall be amended as follows:</w:t>
      </w:r>
    </w:p>
    <w:p w14:paraId="00000011"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definition of “CRTPA” shall be replaced by “”CTPRSA” the Contract (Third Party Rights) (Scotland) Act 2017”.</w:t>
      </w:r>
    </w:p>
    <w:p w14:paraId="00000012"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00000013"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00000014"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00000015"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part (a) of the definition of “Intellectual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00000016"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“Working Day”: reference to “England and Wales” replaced by “Scotland”</w:t>
      </w:r>
    </w:p>
    <w:p w14:paraId="00000017" w14:textId="6680E7BA" w:rsidR="00911D37" w:rsidRDefault="002132B2" w:rsidP="00107F71">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a Guarantee is selected, the following p</w:t>
      </w:r>
      <w:r w:rsidR="00E54C35">
        <w:rPr>
          <w:rFonts w:ascii="Arial" w:eastAsia="Arial" w:hAnsi="Arial" w:cs="Arial"/>
          <w:color w:val="000000"/>
          <w:sz w:val="24"/>
          <w:szCs w:val="24"/>
        </w:rPr>
        <w:t>rovisions of Joint Schedule 8 (</w:t>
      </w:r>
      <w:r>
        <w:rPr>
          <w:rFonts w:ascii="Arial" w:eastAsia="Arial" w:hAnsi="Arial" w:cs="Arial"/>
          <w:color w:val="000000"/>
          <w:sz w:val="24"/>
          <w:szCs w:val="24"/>
        </w:rPr>
        <w:t>Guarantee</w:t>
      </w:r>
      <w:r w:rsidR="00E54C35">
        <w:rPr>
          <w:rFonts w:ascii="Arial" w:eastAsia="Arial" w:hAnsi="Arial" w:cs="Arial"/>
          <w:color w:val="000000"/>
          <w:sz w:val="24"/>
          <w:szCs w:val="24"/>
        </w:rPr>
        <w:t>)</w:t>
      </w:r>
      <w:r>
        <w:rPr>
          <w:rFonts w:ascii="Arial" w:eastAsia="Arial" w:hAnsi="Arial" w:cs="Arial"/>
          <w:color w:val="000000"/>
          <w:sz w:val="24"/>
          <w:szCs w:val="24"/>
        </w:rPr>
        <w:t xml:space="preserve"> shall be amended as follows: </w:t>
      </w:r>
    </w:p>
    <w:p w14:paraId="00000018"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Throughout the whole Schedule delete all references to “deed of Guarantee” merely express as “Guarantee” </w:t>
      </w:r>
    </w:p>
    <w:p w14:paraId="00000019" w14:textId="77777777" w:rsidR="00911D37" w:rsidRDefault="002132B2" w:rsidP="00107F71">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Annex 1 - Form of Guarantee:</w:t>
      </w:r>
    </w:p>
    <w:p w14:paraId="0000001A" w14:textId="77777777" w:rsidR="00911D37" w:rsidRDefault="002132B2" w:rsidP="00107F71">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WHEREAS (B) “deed” replaced by “contract”</w:t>
      </w:r>
    </w:p>
    <w:p w14:paraId="0000001B" w14:textId="77777777" w:rsidR="00911D37" w:rsidRDefault="002132B2" w:rsidP="00107F71">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Clause 4.1 Delete references to “England and Wales” when referring to addresses.</w:t>
      </w:r>
    </w:p>
    <w:p w14:paraId="0000001C" w14:textId="77777777" w:rsidR="00911D37" w:rsidRDefault="002132B2" w:rsidP="00107F71">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0000001D" w14:textId="77777777" w:rsidR="00911D37" w:rsidRDefault="002132B2" w:rsidP="00107F71">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Clause 14 – “Contract (Rights of Third Parties) Act 1999” shall be amended to “Contract (Third Party Rights) (Scotland) Act 2017”.</w:t>
      </w:r>
    </w:p>
    <w:p w14:paraId="0000001E" w14:textId="77777777" w:rsidR="00911D37" w:rsidRDefault="002132B2" w:rsidP="00107F71">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0000001F" w14:textId="77777777" w:rsidR="00911D37" w:rsidRDefault="002132B2" w:rsidP="00107F71">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Alter execution strip to read as follows:</w:t>
      </w:r>
    </w:p>
    <w:p w14:paraId="00000020" w14:textId="77777777" w:rsidR="00911D37" w:rsidRDefault="002132B2" w:rsidP="00107F71">
      <w:pPr>
        <w:pBdr>
          <w:top w:val="nil"/>
          <w:left w:val="nil"/>
          <w:bottom w:val="nil"/>
          <w:right w:val="nil"/>
          <w:between w:val="nil"/>
        </w:pBdr>
        <w:tabs>
          <w:tab w:val="left" w:pos="142"/>
        </w:tabs>
        <w:spacing w:before="240" w:after="120" w:line="240" w:lineRule="auto"/>
        <w:ind w:left="2880" w:hanging="720"/>
        <w:jc w:val="both"/>
        <w:rPr>
          <w:rFonts w:ascii="Arial" w:eastAsia="Arial" w:hAnsi="Arial" w:cs="Arial"/>
          <w:i/>
          <w:smallCaps/>
          <w:color w:val="000000"/>
          <w:sz w:val="24"/>
          <w:szCs w:val="24"/>
        </w:rPr>
      </w:pPr>
      <w:r>
        <w:rPr>
          <w:rFonts w:ascii="Arial" w:eastAsia="Arial" w:hAnsi="Arial" w:cs="Arial"/>
          <w:i/>
          <w:smallCaps/>
          <w:color w:val="000000"/>
          <w:sz w:val="24"/>
          <w:szCs w:val="24"/>
        </w:rPr>
        <w:t>“IN WITNESS WHEREOF these presents consisting of this page and the [ ] preceding pages are executed in duplicate as follows:</w:t>
      </w:r>
    </w:p>
    <w:p w14:paraId="00000021" w14:textId="77777777" w:rsidR="00911D37" w:rsidRDefault="002132B2" w:rsidP="00107F71">
      <w:pPr>
        <w:pBdr>
          <w:top w:val="nil"/>
          <w:left w:val="nil"/>
          <w:bottom w:val="nil"/>
          <w:right w:val="nil"/>
          <w:between w:val="nil"/>
        </w:pBdr>
        <w:tabs>
          <w:tab w:val="left" w:pos="142"/>
        </w:tabs>
        <w:spacing w:before="240" w:after="120" w:line="240" w:lineRule="auto"/>
        <w:ind w:left="2880" w:hanging="720"/>
        <w:jc w:val="both"/>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00000022" w14:textId="77777777" w:rsidR="00911D37" w:rsidRDefault="002132B2" w:rsidP="00107F71">
      <w:pPr>
        <w:pBdr>
          <w:top w:val="nil"/>
          <w:left w:val="nil"/>
          <w:bottom w:val="nil"/>
          <w:right w:val="nil"/>
          <w:between w:val="nil"/>
        </w:pBdr>
        <w:tabs>
          <w:tab w:val="left" w:pos="142"/>
        </w:tabs>
        <w:spacing w:before="240" w:after="120" w:line="240" w:lineRule="auto"/>
        <w:ind w:left="2880" w:hanging="720"/>
        <w:jc w:val="both"/>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00000023" w14:textId="77777777" w:rsidR="00911D37" w:rsidRDefault="002132B2" w:rsidP="00107F71">
      <w:pPr>
        <w:pBdr>
          <w:top w:val="nil"/>
          <w:left w:val="nil"/>
          <w:bottom w:val="nil"/>
          <w:right w:val="nil"/>
          <w:between w:val="nil"/>
        </w:pBdr>
        <w:tabs>
          <w:tab w:val="left" w:pos="142"/>
        </w:tabs>
        <w:spacing w:before="240" w:after="120" w:line="240" w:lineRule="auto"/>
        <w:ind w:left="2880" w:hanging="720"/>
        <w:jc w:val="both"/>
        <w:rPr>
          <w:rFonts w:ascii="Arial" w:eastAsia="Arial" w:hAnsi="Arial" w:cs="Arial"/>
          <w:i/>
          <w:smallCaps/>
          <w:color w:val="000000"/>
          <w:sz w:val="24"/>
          <w:szCs w:val="24"/>
        </w:rPr>
      </w:pPr>
      <w:r>
        <w:rPr>
          <w:rFonts w:ascii="Arial" w:eastAsia="Arial" w:hAnsi="Arial" w:cs="Arial"/>
          <w:i/>
          <w:smallCaps/>
          <w:color w:val="000000"/>
          <w:sz w:val="24"/>
          <w:szCs w:val="24"/>
        </w:rPr>
        <w:t>Position:</w:t>
      </w:r>
    </w:p>
    <w:p w14:paraId="00000024" w14:textId="77777777" w:rsidR="00911D37" w:rsidRDefault="002132B2" w:rsidP="00107F71">
      <w:pPr>
        <w:pBdr>
          <w:top w:val="nil"/>
          <w:left w:val="nil"/>
          <w:bottom w:val="nil"/>
          <w:right w:val="nil"/>
          <w:between w:val="nil"/>
        </w:pBdr>
        <w:tabs>
          <w:tab w:val="left" w:pos="142"/>
        </w:tabs>
        <w:spacing w:before="240" w:after="120" w:line="240" w:lineRule="auto"/>
        <w:ind w:left="2880" w:hanging="720"/>
        <w:jc w:val="both"/>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00000025" w14:textId="77777777" w:rsidR="00911D37" w:rsidRDefault="002132B2" w:rsidP="00107F71">
      <w:pPr>
        <w:pBdr>
          <w:top w:val="nil"/>
          <w:left w:val="nil"/>
          <w:bottom w:val="nil"/>
          <w:right w:val="nil"/>
          <w:between w:val="nil"/>
        </w:pBdr>
        <w:tabs>
          <w:tab w:val="left" w:pos="142"/>
        </w:tabs>
        <w:spacing w:before="240" w:after="120" w:line="240" w:lineRule="auto"/>
        <w:ind w:left="2880" w:hanging="720"/>
        <w:jc w:val="both"/>
        <w:rPr>
          <w:rFonts w:ascii="Arial" w:eastAsia="Arial" w:hAnsi="Arial" w:cs="Arial"/>
          <w:i/>
          <w:smallCaps/>
          <w:color w:val="000000"/>
          <w:sz w:val="24"/>
          <w:szCs w:val="24"/>
        </w:rPr>
      </w:pPr>
      <w:r>
        <w:rPr>
          <w:rFonts w:ascii="Arial" w:eastAsia="Arial" w:hAnsi="Arial" w:cs="Arial"/>
          <w:i/>
          <w:smallCaps/>
          <w:color w:val="000000"/>
          <w:sz w:val="24"/>
          <w:szCs w:val="24"/>
        </w:rPr>
        <w:lastRenderedPageBreak/>
        <w:t>Date:</w:t>
      </w:r>
    </w:p>
    <w:p w14:paraId="00000026" w14:textId="77777777" w:rsidR="00911D37" w:rsidRDefault="002132B2" w:rsidP="00107F71">
      <w:pPr>
        <w:pBdr>
          <w:top w:val="nil"/>
          <w:left w:val="nil"/>
          <w:bottom w:val="nil"/>
          <w:right w:val="nil"/>
          <w:between w:val="nil"/>
        </w:pBdr>
        <w:tabs>
          <w:tab w:val="left" w:pos="142"/>
        </w:tabs>
        <w:spacing w:before="240" w:after="120" w:line="240" w:lineRule="auto"/>
        <w:ind w:left="2880" w:hanging="720"/>
        <w:jc w:val="both"/>
        <w:rPr>
          <w:rFonts w:ascii="Arial" w:eastAsia="Arial" w:hAnsi="Arial" w:cs="Arial"/>
          <w:i/>
          <w:smallCaps/>
          <w:color w:val="000000"/>
          <w:sz w:val="24"/>
          <w:szCs w:val="24"/>
        </w:rPr>
      </w:pPr>
      <w:r>
        <w:rPr>
          <w:rFonts w:ascii="Arial" w:eastAsia="Arial" w:hAnsi="Arial" w:cs="Arial"/>
          <w:i/>
          <w:smallCaps/>
          <w:color w:val="000000"/>
          <w:sz w:val="24"/>
          <w:szCs w:val="24"/>
        </w:rPr>
        <w:t>Witness:</w:t>
      </w:r>
    </w:p>
    <w:p w14:paraId="00000027" w14:textId="77777777" w:rsidR="00911D37" w:rsidRDefault="002132B2" w:rsidP="00107F71">
      <w:pPr>
        <w:pBdr>
          <w:top w:val="nil"/>
          <w:left w:val="nil"/>
          <w:bottom w:val="nil"/>
          <w:right w:val="nil"/>
          <w:between w:val="nil"/>
        </w:pBdr>
        <w:tabs>
          <w:tab w:val="left" w:pos="142"/>
        </w:tabs>
        <w:spacing w:before="240" w:after="120" w:line="240" w:lineRule="auto"/>
        <w:ind w:left="2880" w:hanging="720"/>
        <w:jc w:val="both"/>
        <w:rPr>
          <w:rFonts w:ascii="Arial" w:eastAsia="Arial" w:hAnsi="Arial" w:cs="Arial"/>
          <w:i/>
          <w:smallCaps/>
          <w:color w:val="000000"/>
          <w:sz w:val="24"/>
          <w:szCs w:val="24"/>
        </w:rPr>
      </w:pPr>
      <w:r>
        <w:rPr>
          <w:rFonts w:ascii="Arial" w:eastAsia="Arial" w:hAnsi="Arial" w:cs="Arial"/>
          <w:i/>
          <w:smallCaps/>
          <w:color w:val="000000"/>
          <w:sz w:val="24"/>
          <w:szCs w:val="24"/>
        </w:rPr>
        <w:t>Witness name:</w:t>
      </w:r>
    </w:p>
    <w:p w14:paraId="00000028" w14:textId="77777777" w:rsidR="00911D37" w:rsidRDefault="002132B2" w:rsidP="00107F71">
      <w:pPr>
        <w:pBdr>
          <w:top w:val="nil"/>
          <w:left w:val="nil"/>
          <w:bottom w:val="nil"/>
          <w:right w:val="nil"/>
          <w:between w:val="nil"/>
        </w:pBdr>
        <w:tabs>
          <w:tab w:val="left" w:pos="142"/>
        </w:tabs>
        <w:spacing w:before="240" w:after="120" w:line="240" w:lineRule="auto"/>
        <w:ind w:left="2880" w:hanging="720"/>
        <w:jc w:val="both"/>
        <w:rPr>
          <w:rFonts w:ascii="Arial" w:eastAsia="Arial" w:hAnsi="Arial" w:cs="Arial"/>
          <w:i/>
          <w:smallCaps/>
          <w:color w:val="000000"/>
          <w:sz w:val="24"/>
          <w:szCs w:val="24"/>
        </w:rPr>
      </w:pPr>
      <w:r>
        <w:rPr>
          <w:rFonts w:ascii="Arial" w:eastAsia="Arial" w:hAnsi="Arial" w:cs="Arial"/>
          <w:i/>
          <w:smallCaps/>
          <w:color w:val="000000"/>
          <w:sz w:val="24"/>
          <w:szCs w:val="24"/>
        </w:rPr>
        <w:t>Witness address:”</w:t>
      </w:r>
    </w:p>
    <w:p w14:paraId="00000029" w14:textId="77777777" w:rsidR="00911D37" w:rsidRDefault="00911D37" w:rsidP="00107F71">
      <w:pPr>
        <w:pBdr>
          <w:top w:val="nil"/>
          <w:left w:val="nil"/>
          <w:bottom w:val="nil"/>
          <w:right w:val="nil"/>
          <w:between w:val="nil"/>
        </w:pBdr>
        <w:spacing w:before="120" w:after="120" w:line="240" w:lineRule="auto"/>
        <w:ind w:left="1996" w:hanging="720"/>
        <w:jc w:val="both"/>
        <w:rPr>
          <w:rFonts w:ascii="Arial" w:eastAsia="Arial" w:hAnsi="Arial" w:cs="Arial"/>
          <w:color w:val="000000"/>
          <w:sz w:val="24"/>
          <w:szCs w:val="24"/>
        </w:rPr>
      </w:pPr>
    </w:p>
    <w:p w14:paraId="0000002A" w14:textId="77777777" w:rsidR="00911D37" w:rsidRDefault="002132B2" w:rsidP="00107F71">
      <w:pPr>
        <w:numPr>
          <w:ilvl w:val="0"/>
          <w:numId w:val="1"/>
        </w:numPr>
        <w:pBdr>
          <w:top w:val="nil"/>
          <w:left w:val="nil"/>
          <w:bottom w:val="nil"/>
          <w:right w:val="nil"/>
          <w:between w:val="nil"/>
        </w:pBdr>
        <w:tabs>
          <w:tab w:val="left" w:pos="142"/>
        </w:tabs>
        <w:spacing w:before="24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Changes to Call-Off Schedules</w:t>
      </w:r>
    </w:p>
    <w:p w14:paraId="0000002B" w14:textId="77777777" w:rsidR="00911D37" w:rsidRDefault="00911D37" w:rsidP="00107F71">
      <w:pPr>
        <w:jc w:val="both"/>
      </w:pPr>
    </w:p>
    <w:p w14:paraId="0000002C" w14:textId="77777777" w:rsidR="00911D37" w:rsidRDefault="002132B2" w:rsidP="00107F71">
      <w:pPr>
        <w:jc w:val="both"/>
      </w:pPr>
      <w:r>
        <w:rPr>
          <w:b/>
          <w:highlight w:val="yellow"/>
        </w:rPr>
        <w:t>[Buyer Guidance</w:t>
      </w:r>
      <w:r>
        <w:t xml:space="preserve"> Insert any amendments to the Call-Off schedules where Scottish Law applies]</w:t>
      </w:r>
    </w:p>
    <w:p w14:paraId="0000002D" w14:textId="77777777" w:rsidR="00911D37" w:rsidRDefault="00911D37" w:rsidP="00107F71">
      <w:pPr>
        <w:jc w:val="both"/>
      </w:pPr>
    </w:p>
    <w:p w14:paraId="0000002E" w14:textId="77777777" w:rsidR="00911D37" w:rsidRDefault="002132B2" w:rsidP="00107F71">
      <w:pPr>
        <w:numPr>
          <w:ilvl w:val="0"/>
          <w:numId w:val="1"/>
        </w:numPr>
        <w:pBdr>
          <w:top w:val="nil"/>
          <w:left w:val="nil"/>
          <w:bottom w:val="nil"/>
          <w:right w:val="nil"/>
          <w:between w:val="nil"/>
        </w:pBdr>
        <w:tabs>
          <w:tab w:val="left" w:pos="142"/>
        </w:tabs>
        <w:spacing w:before="24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References to Legislation</w:t>
      </w:r>
    </w:p>
    <w:p w14:paraId="0000002F" w14:textId="77777777" w:rsidR="00911D37" w:rsidRDefault="002132B2" w:rsidP="00107F71">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Call Off Contract it shall have the effect of substituting the equivalent legislation applicable in Scotland. </w:t>
      </w:r>
    </w:p>
    <w:p w14:paraId="00000030" w14:textId="77777777" w:rsidR="00911D37" w:rsidRDefault="00911D37" w:rsidP="00107F71">
      <w:pPr>
        <w:pBdr>
          <w:top w:val="nil"/>
          <w:left w:val="nil"/>
          <w:bottom w:val="nil"/>
          <w:right w:val="nil"/>
          <w:between w:val="nil"/>
        </w:pBdr>
        <w:spacing w:before="120" w:after="120" w:line="240" w:lineRule="auto"/>
        <w:ind w:left="1996" w:hanging="720"/>
        <w:jc w:val="both"/>
        <w:rPr>
          <w:rFonts w:ascii="Arial" w:eastAsia="Arial" w:hAnsi="Arial" w:cs="Arial"/>
          <w:color w:val="000000"/>
          <w:sz w:val="24"/>
          <w:szCs w:val="24"/>
        </w:rPr>
      </w:pPr>
    </w:p>
    <w:sectPr w:rsidR="00911D37">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5F0AC" w14:textId="77777777" w:rsidR="003F570B" w:rsidRDefault="003F570B">
      <w:pPr>
        <w:spacing w:after="0" w:line="240" w:lineRule="auto"/>
      </w:pPr>
      <w:r>
        <w:separator/>
      </w:r>
    </w:p>
  </w:endnote>
  <w:endnote w:type="continuationSeparator" w:id="0">
    <w:p w14:paraId="33781DC3" w14:textId="77777777" w:rsidR="003F570B" w:rsidRDefault="003F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5" w14:textId="77777777" w:rsidR="00911D37" w:rsidRDefault="00911D37">
    <w:pPr>
      <w:tabs>
        <w:tab w:val="center" w:pos="4513"/>
        <w:tab w:val="right" w:pos="9026"/>
      </w:tabs>
      <w:spacing w:after="0"/>
      <w:rPr>
        <w:rFonts w:ascii="Arial" w:eastAsia="Arial" w:hAnsi="Arial" w:cs="Arial"/>
        <w:sz w:val="20"/>
        <w:szCs w:val="20"/>
      </w:rPr>
    </w:pPr>
  </w:p>
  <w:p w14:paraId="00000036" w14:textId="77777777" w:rsidR="00911D37" w:rsidRDefault="002132B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p>
  <w:p w14:paraId="00000037" w14:textId="2D60EE2B" w:rsidR="00911D37" w:rsidRDefault="00107F71">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Project Version: </w:t>
    </w:r>
    <w:r w:rsidR="002132B2">
      <w:rPr>
        <w:rFonts w:ascii="Arial" w:eastAsia="Arial" w:hAnsi="Arial" w:cs="Arial"/>
        <w:sz w:val="20"/>
        <w:szCs w:val="20"/>
      </w:rPr>
      <w:t>v1.0</w:t>
    </w:r>
    <w:r w:rsidR="002132B2">
      <w:rPr>
        <w:rFonts w:ascii="Arial" w:eastAsia="Arial" w:hAnsi="Arial" w:cs="Arial"/>
        <w:sz w:val="20"/>
        <w:szCs w:val="20"/>
      </w:rPr>
      <w:tab/>
    </w:r>
    <w:r w:rsidR="002132B2">
      <w:rPr>
        <w:rFonts w:ascii="Arial" w:eastAsia="Arial" w:hAnsi="Arial" w:cs="Arial"/>
        <w:sz w:val="20"/>
        <w:szCs w:val="20"/>
      </w:rPr>
      <w:tab/>
      <w:t xml:space="preserve"> </w:t>
    </w:r>
  </w:p>
  <w:p w14:paraId="00000038" w14:textId="77777777" w:rsidR="00911D37" w:rsidRDefault="002132B2">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D42EF" w14:textId="77777777" w:rsidR="003F570B" w:rsidRDefault="003F570B">
      <w:pPr>
        <w:spacing w:after="0" w:line="240" w:lineRule="auto"/>
      </w:pPr>
      <w:r>
        <w:separator/>
      </w:r>
    </w:p>
  </w:footnote>
  <w:footnote w:type="continuationSeparator" w:id="0">
    <w:p w14:paraId="22D5E4D0" w14:textId="77777777" w:rsidR="003F570B" w:rsidRDefault="003F57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1" w14:textId="77777777" w:rsidR="00911D37" w:rsidRDefault="002132B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19 (Scottish Law)</w:t>
    </w:r>
  </w:p>
  <w:p w14:paraId="00000032" w14:textId="77777777" w:rsidR="00911D37" w:rsidRDefault="002132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33" w14:textId="77777777" w:rsidR="00911D37" w:rsidRDefault="002132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34" w14:textId="77777777" w:rsidR="00911D37" w:rsidRDefault="00911D37">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83EEF"/>
    <w:multiLevelType w:val="multilevel"/>
    <w:tmpl w:val="44909B04"/>
    <w:lvl w:ilvl="0">
      <w:start w:val="1"/>
      <w:numFmt w:val="decimal"/>
      <w:pStyle w:val="GPSL1CLAUSEHEADING"/>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B217DF2"/>
    <w:multiLevelType w:val="multilevel"/>
    <w:tmpl w:val="063EDF5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D37"/>
    <w:rsid w:val="00107F71"/>
    <w:rsid w:val="002132B2"/>
    <w:rsid w:val="003F570B"/>
    <w:rsid w:val="00911D37"/>
    <w:rsid w:val="00E54C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B5153"/>
  <w15:docId w15:val="{B25A7E29-1344-4DD3-900E-8C7C742F1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spE+L8cEd4/DZfZXsVVPw0rK8Q==">AMUW2mXUCxsFV7JkRSXbA3smF+LD0Q6+N7fJadpxkAUphxyfZClr/rZb397x9zBq+awQ8NJIVf1u2j3XFczVtWF5jDi3o01jTWBUvnJpmy/bV6r+2tGl1z9q114q4p3W/uoMpPpdVmAO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Ross Naomi</cp:lastModifiedBy>
  <cp:revision>3</cp:revision>
  <dcterms:created xsi:type="dcterms:W3CDTF">2020-12-10T14:34:00Z</dcterms:created>
  <dcterms:modified xsi:type="dcterms:W3CDTF">2021-07-16T16:32:00Z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